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b/>
          <w:sz w:val="20"/>
          <w:szCs w:val="20"/>
        </w:rPr>
        <w:t xml:space="preserve">                                                                                  </w:t>
      </w:r>
      <w:r>
        <w:rPr>
          <w:rFonts w:cs="Tahoma"/>
          <w:b/>
        </w:rPr>
        <w:tab/>
      </w:r>
      <w:r>
        <w:rPr>
          <w:rFonts w:cs="Tahoma"/>
          <w:b/>
          <w:sz w:val="20"/>
          <w:szCs w:val="20"/>
        </w:rPr>
        <w:t xml:space="preserve">  </w:t>
      </w:r>
      <w:r>
        <w:rPr>
          <w:rFonts w:cs="Tahoma"/>
          <w:sz w:val="20"/>
          <w:szCs w:val="20"/>
        </w:rPr>
        <w:t xml:space="preserve">Приложение №1.1 </w:t>
      </w:r>
      <w:bookmarkStart w:id="0" w:name="_GoBack"/>
      <w:bookmarkEnd w:id="0"/>
      <w:r>
        <w:rPr>
          <w:rFonts w:cs="Tahoma"/>
          <w:sz w:val="20"/>
          <w:szCs w:val="20"/>
        </w:rPr>
        <w:t xml:space="preserve"> к договору подряда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 xml:space="preserve">                                                                                   №</w:t>
      </w:r>
      <w:r>
        <w:rPr>
          <w:rFonts w:cs="Tahoma"/>
          <w:sz w:val="20"/>
          <w:szCs w:val="20"/>
        </w:rPr>
        <w:t>_________________от__________</w:t>
      </w:r>
    </w:p>
    <w:p>
      <w:pPr>
        <w:pStyle w:val="Normal"/>
        <w:ind w:left="-113" w:firstLine="821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</w:rPr>
        <w:tab/>
        <w:tab/>
        <w:t xml:space="preserve">   </w:t>
      </w:r>
    </w:p>
    <w:p>
      <w:pPr>
        <w:pStyle w:val="Normal"/>
        <w:ind w:left="-113" w:firstLine="821"/>
        <w:jc w:val="right"/>
        <w:rPr>
          <w:rFonts w:ascii="Tahoma" w:hAnsi="Tahoma" w:cs="Tahoma"/>
          <w:sz w:val="20"/>
          <w:szCs w:val="20"/>
        </w:rPr>
      </w:pPr>
      <w:r>
        <w:rPr>
          <w:rFonts w:cs="Tahoma"/>
          <w:b/>
        </w:rPr>
        <w:t xml:space="preserve">                                </w:t>
      </w:r>
      <w:r>
        <w:rPr>
          <w:rFonts w:cs="Tahoma"/>
          <w:b/>
        </w:rPr>
        <w:t>УТВЕРЖДАЮ</w:t>
      </w:r>
    </w:p>
    <w:p>
      <w:pPr>
        <w:pStyle w:val="Normal"/>
        <w:ind w:left="-113" w:hanging="0"/>
        <w:jc w:val="right"/>
        <w:rPr/>
      </w:pPr>
      <w:r>
        <w:rPr>
          <w:rFonts w:cs="Tahoma"/>
        </w:rPr>
        <w:tab/>
        <w:tab/>
        <w:t xml:space="preserve">                                    </w:t>
        <w:tab/>
        <w:tab/>
        <w:tab/>
        <w:t xml:space="preserve">      Главный управляющий директор</w:t>
      </w:r>
    </w:p>
    <w:p>
      <w:pPr>
        <w:pStyle w:val="Normal"/>
        <w:jc w:val="right"/>
        <w:rPr/>
      </w:pPr>
      <w:r>
        <w:rPr>
          <w:rFonts w:cs="Tahoma"/>
        </w:rPr>
        <w:t>ООО «Самарские коммунальные системы»</w:t>
      </w:r>
    </w:p>
    <w:p>
      <w:pPr>
        <w:pStyle w:val="Normal"/>
        <w:ind w:left="6973" w:hanging="7080"/>
        <w:jc w:val="right"/>
        <w:rPr>
          <w:rFonts w:cs="Tahoma"/>
        </w:rPr>
      </w:pPr>
      <w:r>
        <w:rPr>
          <w:rFonts w:cs="Tahoma"/>
        </w:rPr>
      </w:r>
    </w:p>
    <w:p>
      <w:pPr>
        <w:pStyle w:val="Normal"/>
        <w:ind w:left="5664" w:hanging="0"/>
        <w:jc w:val="right"/>
        <w:rPr/>
      </w:pPr>
      <w:r>
        <w:rPr>
          <w:rFonts w:cs="Tahoma"/>
        </w:rPr>
        <w:t xml:space="preserve"> </w:t>
      </w:r>
      <w:r>
        <w:rPr>
          <w:rFonts w:cs="Tahoma"/>
        </w:rPr>
        <w:t>_________________ В.В. Бирюков</w:t>
      </w:r>
    </w:p>
    <w:p>
      <w:pPr>
        <w:pStyle w:val="Normal"/>
        <w:ind w:left="7080" w:hanging="7080"/>
        <w:jc w:val="center"/>
        <w:rPr>
          <w:rFonts w:cs="Tahoma"/>
        </w:rPr>
      </w:pPr>
      <w:r>
        <w:rPr>
          <w:rFonts w:cs="Tahoma"/>
        </w:rPr>
      </w:r>
    </w:p>
    <w:p>
      <w:pPr>
        <w:pStyle w:val="Normal"/>
        <w:rPr>
          <w:rFonts w:cs="Tahoma"/>
        </w:rPr>
      </w:pPr>
      <w:r>
        <w:rPr>
          <w:rFonts w:cs="Tahoma"/>
        </w:rPr>
      </w:r>
    </w:p>
    <w:p>
      <w:pPr>
        <w:pStyle w:val="11"/>
        <w:rPr>
          <w:rFonts w:ascii="Times New Roman" w:hAnsi="Times New Roman" w:cs="Tahoma"/>
        </w:rPr>
      </w:pPr>
      <w:r>
        <w:rPr>
          <w:rFonts w:cs="Tahoma" w:ascii="Times New Roman" w:hAnsi="Times New Roman"/>
        </w:rPr>
        <w:t>ТЕХНИЧЕСКОЕ ЗАДАНИЕ № СКС-2023-В-ИП-7.1.13.44</w:t>
      </w:r>
    </w:p>
    <w:p>
      <w:pPr>
        <w:pStyle w:val="11"/>
        <w:rPr/>
      </w:pPr>
      <w:r>
        <w:rPr/>
      </w:r>
    </w:p>
    <w:p>
      <w:pPr>
        <w:pStyle w:val="Normal"/>
        <w:jc w:val="center"/>
        <w:rPr/>
      </w:pPr>
      <w:r>
        <w:rPr>
          <w:rFonts w:cs="Tahoma"/>
        </w:rPr>
        <w:t>На выполнение работ по с</w:t>
      </w:r>
      <w:r>
        <w:rPr>
          <w:rFonts w:cs="Tahoma"/>
          <w:bCs/>
          <w:lang w:eastAsia="zh-CN"/>
        </w:rPr>
        <w:t>троительству внутриплощадочных сетей хоз-бытовой канализации для подключения объекта капитального строительства к централизованной системе водоотведения: «Жилая застройка в границах улиц Гагарина, Победы, Первого Безымянного переулка в Советском районе городского округа Самара</w:t>
      </w:r>
      <w:r>
        <w:rPr>
          <w:color w:val="000000"/>
          <w:lang w:eastAsia="zh-CN"/>
        </w:rPr>
        <w:t>».</w:t>
      </w:r>
    </w:p>
    <w:p>
      <w:pPr>
        <w:pStyle w:val="Normal"/>
        <w:jc w:val="center"/>
        <w:rPr>
          <w:rFonts w:cs="Tahoma"/>
          <w:color w:val="000000"/>
        </w:rPr>
      </w:pPr>
      <w:r>
        <w:rPr>
          <w:rFonts w:cs="Tahoma"/>
          <w:color w:val="000000"/>
        </w:rPr>
      </w:r>
    </w:p>
    <w:tbl>
      <w:tblPr>
        <w:tblW w:w="10215" w:type="dxa"/>
        <w:jc w:val="left"/>
        <w:tblInd w:w="-812" w:type="dxa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39"/>
        <w:gridCol w:w="3374"/>
        <w:gridCol w:w="6302"/>
      </w:tblGrid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№ </w:t>
            </w:r>
            <w:r>
              <w:rPr>
                <w:rFonts w:cs="Tahoma"/>
              </w:rPr>
              <w:t>п/п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Перечень основных данных и требований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Заказчик (наименование, адрес, платежные и контактные реквизиты)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ООО «Самарские коммунальные системы»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Почтовый адрес: 443056, г. Самара, ул. Луначарского,  д.56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ИНН 6312110828 КПП 631601001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ОГРН 1116312008340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Р\С 40702810903370000034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Филиал ГПБ в г. Самаре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К/с 30101810000000000917</w:t>
            </w:r>
          </w:p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БИК 043601917</w:t>
            </w:r>
          </w:p>
          <w:p>
            <w:pPr>
              <w:pStyle w:val="Normal"/>
              <w:rPr/>
            </w:pPr>
            <w:r>
              <w:rPr>
                <w:rFonts w:cs="Tahoma"/>
              </w:rPr>
              <w:t>Главный управляющий директор Бирюков Владимир Вячеславович, действует на основании доверенности № 20 от 20.02.2021г. т.+7 (846) 336-14-02, факс +7(846)336-89-05</w:t>
            </w:r>
          </w:p>
          <w:p>
            <w:pPr>
              <w:pStyle w:val="Normal"/>
              <w:spacing w:before="0" w:after="40"/>
              <w:rPr/>
            </w:pPr>
            <w:r>
              <w:rPr>
                <w:rFonts w:cs="Tahoma"/>
              </w:rPr>
              <w:t>е</w:t>
            </w:r>
            <w:r>
              <w:rPr>
                <w:rFonts w:cs="Tahoma"/>
                <w:lang w:val="en-US"/>
              </w:rPr>
              <w:t xml:space="preserve">-mail: </w:t>
            </w:r>
            <w:hyperlink r:id="rId2">
              <w:r>
                <w:rPr>
                  <w:rStyle w:val="Style14"/>
                  <w:rFonts w:cs="Tahoma"/>
                  <w:lang w:val="en-US"/>
                </w:rPr>
                <w:t>oks@samcomsys.ru</w:t>
              </w:r>
            </w:hyperlink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Основание для проведения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imes New Roman" w:hAnsi="Times New Roman"/>
                <w:bCs/>
              </w:rPr>
              <w:t>Договор о подключении (технологическом присоединении) к централизованной системе водоотведения.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Наименование и местоположение объекта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  <w:bCs/>
                <w:lang w:eastAsia="zh-CN"/>
              </w:rPr>
              <w:t>Внутриплощадочные сети хоз-бытовой канализации</w:t>
            </w:r>
            <w:r>
              <w:rPr/>
              <w:t xml:space="preserve">  объекта технологического присоединения </w:t>
            </w:r>
            <w:r>
              <w:rPr>
                <w:bCs/>
              </w:rPr>
              <w:t>«</w:t>
            </w:r>
            <w:r>
              <w:rPr>
                <w:rFonts w:cs="Tahoma"/>
                <w:bCs/>
                <w:lang w:eastAsia="zh-CN"/>
              </w:rPr>
              <w:t>Жилая застройка в границах улиц Гагарина, Победы, Первого Безымянного переулка в Советском районе городского округа Самара</w:t>
            </w:r>
            <w:r>
              <w:rPr>
                <w:bCs/>
              </w:rPr>
              <w:t>»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Источник финансирования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BodyTextIndent2"/>
              <w:spacing w:lineRule="auto" w:line="240" w:before="120" w:after="120"/>
              <w:ind w:left="0" w:hanging="0"/>
              <w:rPr>
                <w:rFonts w:ascii="Tahoma" w:hAnsi="Tahoma" w:cs="Tahoma"/>
                <w:bCs/>
                <w:sz w:val="19"/>
                <w:szCs w:val="19"/>
              </w:rPr>
            </w:pPr>
            <w:r>
              <w:rPr>
                <w:rFonts w:cs="Tahoma"/>
                <w:bCs/>
              </w:rPr>
              <w:t>Плата за подключение (технологическое присоединение) к централизованной системе водоотведения.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Цель и назначение работы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ind w:left="0" w:hanging="0"/>
              <w:jc w:val="both"/>
              <w:rPr>
                <w:rFonts w:ascii="Times New Roman" w:hAnsi="Times New Roman"/>
              </w:rPr>
            </w:pPr>
            <w:r>
              <w:rPr>
                <w:rFonts w:cs="Tahoma" w:ascii="Times New Roman" w:hAnsi="Times New Roman"/>
                <w:bCs/>
                <w:color w:val="auto"/>
                <w:lang w:eastAsia="zh-CN"/>
              </w:rPr>
              <w:t>Устройство наружных сетей водоотведения для подключения (технологического присоединения) к централизованной системе водоотведения объекта присоединения.</w:t>
            </w:r>
          </w:p>
        </w:tc>
      </w:tr>
      <w:tr>
        <w:trPr>
          <w:trHeight w:val="1440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Основные технико-экономические показатели и характеристики объекта, в том числе мощность и производительность, для линейных сооружений - протяженность, условный диаметр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r>
              <w:rPr>
                <w:rFonts w:cs="Tahoma"/>
                <w:bCs/>
                <w:lang w:eastAsia="zh-CN"/>
              </w:rPr>
              <w:t>Внутриплощадочные сети хоз-бытовой канализации</w:t>
            </w:r>
            <w:r>
              <w:rPr>
                <w:rFonts w:cs="Tahoma"/>
              </w:rPr>
              <w:t xml:space="preserve"> в соответствии с проектом </w:t>
            </w:r>
            <w:bookmarkStart w:id="1" w:name="__DdeLink__2455_3571400742"/>
            <w:bookmarkStart w:id="2" w:name="__DdeLink__383_1871264254"/>
            <w:r>
              <w:rPr>
                <w:rFonts w:cs="Tahoma"/>
              </w:rPr>
              <w:t xml:space="preserve"> </w:t>
            </w:r>
            <w:bookmarkEnd w:id="2"/>
            <w:r>
              <w:rPr/>
              <w:t>№15/18.3-НК1</w:t>
            </w:r>
            <w:bookmarkEnd w:id="1"/>
            <w:r>
              <w:rPr/>
              <w:t>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Режим работы производства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Style20"/>
              <w:spacing w:before="120" w:after="120"/>
              <w:ind w:left="0" w:hanging="0"/>
              <w:rPr>
                <w:rFonts w:ascii="Tahoma" w:hAnsi="Tahoma" w:cs="Tahoma"/>
                <w:sz w:val="20"/>
              </w:rPr>
            </w:pPr>
            <w:r>
              <w:rPr>
                <w:rFonts w:cs="Tahoma" w:ascii="Times New Roman" w:hAnsi="Times New Roman"/>
              </w:rPr>
              <w:t>Непрерывный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работ, выполняемых заказчиком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rPr/>
            </w:pPr>
            <w:r>
              <w:rPr>
                <w:rFonts w:cs="Tahoma"/>
              </w:rPr>
              <w:t>Предоставление проектно-сметной</w:t>
            </w:r>
            <w:r>
              <w:rPr>
                <w:rFonts w:cs="Tahoma"/>
                <w:iCs/>
                <w:color w:val="000000" w:themeColor="text1"/>
                <w:spacing w:val="-6"/>
              </w:rPr>
              <w:t xml:space="preserve"> документации.</w:t>
            </w:r>
          </w:p>
        </w:tc>
      </w:tr>
      <w:tr>
        <w:trPr>
          <w:trHeight w:val="425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Состав и вид работ, выполняемых подрядчиком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ahoma"/>
              </w:rPr>
              <w:t xml:space="preserve">Выполнение комплекса работ по подключению в соответствии с  проектом </w:t>
            </w:r>
            <w:bookmarkStart w:id="3" w:name="__DdeLink__383_18712642541"/>
            <w:r>
              <w:rPr>
                <w:rFonts w:cs="Tahoma"/>
              </w:rPr>
              <w:t xml:space="preserve"> </w:t>
            </w:r>
            <w:bookmarkEnd w:id="3"/>
            <w:r>
              <w:rPr>
                <w:rFonts w:cs="Tahoma"/>
              </w:rPr>
              <w:t>№15/18.3-НК1</w:t>
            </w:r>
            <w:bookmarkStart w:id="4" w:name="__DdeLink__349_17450871341"/>
            <w:r>
              <w:rPr>
                <w:rFonts w:cs="Tahoma"/>
              </w:rPr>
              <w:t>,</w:t>
            </w:r>
            <w:bookmarkEnd w:id="4"/>
            <w:r>
              <w:rPr>
                <w:rFonts w:cs="Tahoma"/>
              </w:rPr>
              <w:t xml:space="preserve"> настоящим ТЗ.</w:t>
            </w:r>
          </w:p>
          <w:p>
            <w:pPr>
              <w:pStyle w:val="Normal"/>
              <w:rPr>
                <w:rFonts w:ascii="Tahoma" w:hAnsi="Tahoma" w:cs="Tahoma"/>
                <w:iCs/>
                <w:color w:val="000000" w:themeColor="text1"/>
                <w:spacing w:val="-6"/>
                <w:sz w:val="20"/>
                <w:szCs w:val="20"/>
              </w:rPr>
            </w:pPr>
            <w:r>
              <w:rPr>
                <w:rFonts w:cs="Tahoma"/>
                <w:iCs/>
                <w:color w:val="000000" w:themeColor="text1"/>
                <w:spacing w:val="-6"/>
              </w:rPr>
              <w:t>1. Подрядчик самостоятельно проводит необходимые согласования для получения ордера на производство земляных работ.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2. Разрабатывает и согласовывает с заказчиком детальный график производства работ в течение 3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3. Разрабатывает и согласовывает с заказчиком проект производства работ (ППР) в течение 3 дней после подписания договора.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4. Разрабатывает и согласовывает с УГИБДД схему организации безопасности дорожного движения.</w:t>
            </w:r>
          </w:p>
          <w:p>
            <w:pPr>
              <w:pStyle w:val="Normal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5. Выполняет работы подготовительного периода: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Ограждение территории строительной площадки;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Уточнение и закрепление на местности существующих подземных коммуникаций;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Доставка строительных материалов;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специально отведенных мест для нужд пожаротушения;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/>
                <w:color w:val="000000" w:themeColor="text1"/>
              </w:rPr>
              <w:t>Оборудование мест для сбора и временного хранения строительных отходов и бытового мусора</w:t>
            </w:r>
          </w:p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r>
              <w:rPr>
                <w:rFonts w:cs="Tahoma"/>
                <w:color w:val="000000" w:themeColor="text1"/>
              </w:rPr>
              <w:t xml:space="preserve">6. Выполняет работы основного периода в </w:t>
            </w:r>
            <w:r>
              <w:rPr>
                <w:rFonts w:cs="Tahoma"/>
              </w:rPr>
              <w:t xml:space="preserve"> </w:t>
            </w:r>
            <w:r>
              <w:rPr>
                <w:rFonts w:cs="Tahoma"/>
                <w:color w:val="000000"/>
              </w:rPr>
              <w:t xml:space="preserve">соответствии с </w:t>
            </w:r>
            <w:r>
              <w:rPr>
                <w:rFonts w:cs="Tahoma"/>
                <w:color w:val="auto"/>
              </w:rPr>
              <w:t xml:space="preserve">проектом </w:t>
            </w:r>
            <w:bookmarkStart w:id="5" w:name="__DdeLink__383_18712642542"/>
            <w:r>
              <w:rPr>
                <w:rFonts w:cs="Tahoma"/>
                <w:color w:val="auto"/>
              </w:rPr>
              <w:t xml:space="preserve"> </w:t>
            </w:r>
            <w:bookmarkEnd w:id="5"/>
            <w:r>
              <w:rPr>
                <w:rFonts w:cs="Tahoma"/>
                <w:color w:val="auto"/>
              </w:rPr>
              <w:t xml:space="preserve">№15/18.3-НК1. </w:t>
            </w:r>
            <w:r>
              <w:rPr>
                <w:rFonts w:cs="Tahoma"/>
                <w:bCs/>
                <w:lang w:eastAsia="zh-CN"/>
              </w:rPr>
              <w:t>Внутриплощадочные сети хоз-бытовой канализации.</w:t>
            </w:r>
            <w:r>
              <w:rPr>
                <w:rFonts w:cs="Tahoma"/>
              </w:rPr>
              <w:t xml:space="preserve"> 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7. Обеспечивает присутствие в процессе выполнения работ всех необходимых служб и заинтересованных организаций (газ, связь, электросеть, МПП ВКХ, правообладатели земельных участков и др.), без ведома которых производство работ запрещено, а также при необходимости (в соответствии с требованиями УГИБДД УВД) выполняет установку дорожных знаков при проведении работ на проезжей части дорог, оплачивает снос зеленых насаждений, если такая необходимость возникает.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Сдача территории после выполнения благоустройства</w:t>
            </w:r>
          </w:p>
          <w:p>
            <w:pPr>
              <w:pStyle w:val="Normal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собственнику по акту. Закрытие разрешения на производство работ.</w:t>
            </w:r>
          </w:p>
          <w:p>
            <w:pPr>
              <w:pStyle w:val="Normal"/>
              <w:spacing w:before="0" w:after="120"/>
              <w:jc w:val="both"/>
              <w:rPr/>
            </w:pPr>
            <w:r>
              <w:rPr>
                <w:rFonts w:cs="Tahoma"/>
                <w:spacing w:val="1"/>
              </w:rPr>
              <w:t>9. Работы выполнять в соответствии с Постановлением Главы г.о. Самара от 08.08.2019г. № 444 (с изменениями и дополнениями, действующими на момент производства работ).</w:t>
            </w:r>
          </w:p>
        </w:tc>
      </w:tr>
      <w:tr>
        <w:trPr>
          <w:trHeight w:val="1142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используемому оборудованию (включая источник поставки – заказчик /подрядчик, гарантийные требования, сроки поставки и пр.)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  <w:t>Поставку материалов осуществляет подрядчик.</w:t>
            </w:r>
          </w:p>
          <w:p>
            <w:pPr>
              <w:pStyle w:val="Normal"/>
              <w:jc w:val="both"/>
              <w:rPr/>
            </w:pPr>
            <w:r>
              <w:rPr/>
              <w:t>Тип и наименование – в соответствии с согласованным проектом.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Состав разделов документации, представляемых подрядчиком и требования к их содержанию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Сопроводительное письмо от подрядчика с указанием исполнителей работ и ответственных, о прохождении инструктажа, удостоверений подтверждающих право проведения работ, список техники. Приказы на ответственных работников.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Исполнительная документация в соответствии с Приложением №1 к ТЗ, предоставляется ежемесячно.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К исполнительной документации приложить: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- сертификаты на применяемые материалы и оборудование;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 xml:space="preserve">- исполнительную съемку построенной сети водоотведения, выполненную МП г.о. Самара «Архитектурно-планировочное бюро» на бумажном носителе и на электронном в редактируемом формате </w:t>
            </w:r>
            <w:r>
              <w:rPr>
                <w:rFonts w:cs="Tahoma"/>
                <w:lang w:val="en-US"/>
              </w:rPr>
              <w:t>DWG</w:t>
            </w:r>
            <w:r>
              <w:rPr>
                <w:rFonts w:cs="Tahoma"/>
              </w:rPr>
              <w:t>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4. Акт выполненных работ по форме КС-2 с визой эксплуатирующего подразделения Заказчика, справка о стоимости работ по форме КС-3, реестр выполненных работ по форме ИФ-3.1 (Приложение №2 к ТЗ) предоставляются не позднее 25 числа отчетного месяца.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Оформление принимаемых решений в ходе выполнения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spacing w:lineRule="auto" w:line="240" w:before="12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1. Исполнитель до производства работ согласовывает с Заказчиком в письменном виде все отклонения от документов, приложенных к настоящему ТЗ.</w:t>
            </w:r>
          </w:p>
          <w:p>
            <w:pPr>
              <w:pStyle w:val="ListParagraph"/>
              <w:spacing w:lineRule="auto" w:line="240" w:before="0" w:after="0"/>
              <w:ind w:left="0" w:hanging="0"/>
              <w:contextualSpacing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cs="Tahoma" w:ascii="Times New Roman" w:hAnsi="Times New Roman"/>
                <w:color w:val="000000" w:themeColor="text1"/>
                <w:sz w:val="24"/>
                <w:szCs w:val="24"/>
              </w:rPr>
              <w:t>2. Изменение утвержденных проектных решений согласовывается Заказчиком и оформляется в письменном виде с уведомлением Исполнителя проектной документации.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  <w:color w:val="000000" w:themeColor="text1"/>
              </w:rPr>
              <w:t>3. Согласованные с Заказчиком изменения отражаются в  исполнительной документации.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технологическим решениям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pacing w:before="120" w:after="120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проектной документацией, техническим заданием, разработанным ППР, действующими федеральными законами, техническими регламентами, нормами и правилами, и др. нормативными документами.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Исходные данные для выполнения работ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uppressAutoHyphens w:val="true"/>
              <w:snapToGrid w:val="false"/>
              <w:spacing w:before="28" w:after="28"/>
              <w:jc w:val="both"/>
              <w:rPr/>
            </w:pPr>
            <w:bookmarkStart w:id="6" w:name="__DdeLink__5320_1090950138"/>
            <w:r>
              <w:rPr/>
              <w:t xml:space="preserve">Проект </w:t>
            </w:r>
            <w:bookmarkStart w:id="7" w:name="__DdeLink__383_18712642543"/>
            <w:bookmarkEnd w:id="6"/>
            <w:r>
              <w:rPr>
                <w:rFonts w:cs="Tahoma"/>
              </w:rPr>
              <w:t xml:space="preserve"> </w:t>
            </w:r>
            <w:bookmarkEnd w:id="7"/>
            <w:r>
              <w:rPr/>
              <w:t>№15/18.3-НК1</w:t>
            </w:r>
            <w:r>
              <w:rPr>
                <w:rFonts w:cs="Tahoma"/>
                <w:color w:val="auto"/>
              </w:rPr>
              <w:t xml:space="preserve">. </w:t>
            </w:r>
            <w:r>
              <w:rPr>
                <w:rFonts w:cs="Tahoma"/>
                <w:bCs/>
                <w:lang w:eastAsia="zh-CN"/>
              </w:rPr>
              <w:t>Внутриплощадочные сети хоз-бытовой канализации.</w:t>
            </w:r>
            <w:r>
              <w:rPr>
                <w:rFonts w:cs="Tahoma"/>
              </w:rPr>
              <w:t xml:space="preserve"> </w:t>
            </w:r>
          </w:p>
        </w:tc>
      </w:tr>
      <w:tr>
        <w:trPr>
          <w:trHeight w:val="601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сметной документации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ahoma"/>
              </w:rPr>
              <w:t>Сметная документация предоставляется в составе проектной документации.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природоохранным мероприятиям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природоохранных документов и Законодательства.</w:t>
            </w:r>
          </w:p>
          <w:p>
            <w:pPr>
              <w:pStyle w:val="Normal"/>
              <w:spacing w:before="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Обязательное условие – полная уборка и утилизация непригодных материалов.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архитектурным, конструктивным и объемно-планировочным решениям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bookmarkStart w:id="8" w:name="__DdeLink__383_18712642544"/>
            <w:r>
              <w:rPr>
                <w:rFonts w:cs="Tahoma"/>
                <w:color w:val="auto"/>
              </w:rPr>
              <w:t xml:space="preserve"> </w:t>
            </w:r>
            <w:bookmarkEnd w:id="8"/>
            <w:r>
              <w:rPr>
                <w:rFonts w:cs="Tahoma"/>
                <w:color w:val="auto"/>
              </w:rPr>
              <w:t>№15/18.3-НК1.</w:t>
            </w:r>
          </w:p>
        </w:tc>
      </w:tr>
      <w:tr>
        <w:trPr>
          <w:trHeight w:val="689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bookmarkStart w:id="9" w:name="__DdeLink__383_18712642545"/>
            <w:r>
              <w:rPr>
                <w:rFonts w:cs="Tahoma"/>
                <w:color w:val="auto"/>
              </w:rPr>
              <w:t xml:space="preserve"> </w:t>
            </w:r>
            <w:bookmarkEnd w:id="9"/>
            <w:r>
              <w:rPr>
                <w:rFonts w:cs="Tahoma"/>
                <w:color w:val="auto"/>
              </w:rPr>
              <w:t>№15/18.3-НК1.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Технические требования к технологическому оборудованию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tabs>
                <w:tab w:val="clear" w:pos="720"/>
                <w:tab w:val="left" w:pos="5145" w:leader="none"/>
              </w:tabs>
              <w:snapToGrid w:val="false"/>
              <w:jc w:val="both"/>
              <w:rPr/>
            </w:pPr>
            <w:r>
              <w:rPr>
                <w:rFonts w:cs="Tahoma"/>
                <w:color w:val="auto"/>
              </w:rPr>
              <w:t xml:space="preserve">В соответствии с проектом </w:t>
            </w:r>
            <w:bookmarkStart w:id="10" w:name="__DdeLink__383_18712642546"/>
            <w:r>
              <w:rPr>
                <w:rFonts w:cs="Tahoma"/>
                <w:color w:val="auto"/>
              </w:rPr>
              <w:t xml:space="preserve"> </w:t>
            </w:r>
            <w:bookmarkEnd w:id="10"/>
            <w:r>
              <w:rPr>
                <w:rFonts w:cs="Tahoma"/>
                <w:color w:val="auto"/>
              </w:rPr>
              <w:t>№15/18.3-НК1.</w:t>
            </w:r>
          </w:p>
        </w:tc>
      </w:tr>
      <w:tr>
        <w:trPr>
          <w:trHeight w:val="274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утилизации (захоронению) отходов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120" w:after="120"/>
              <w:jc w:val="both"/>
              <w:rPr/>
            </w:pPr>
            <w:r>
              <w:rPr>
                <w:rFonts w:cs="Tahoma"/>
                <w:bCs/>
                <w:color w:val="000000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 постановления Администрации г.о. Самара от 26.07.2011 №832 </w:t>
            </w:r>
            <w:r>
              <w:rPr>
                <w:rFonts w:cs="Tahoma"/>
                <w:spacing w:val="1"/>
              </w:rPr>
              <w:t>(с изменениями и дополнениями действующими на момент производства)</w:t>
            </w:r>
            <w:r>
              <w:rPr>
                <w:rFonts w:cs="Tahoma"/>
                <w:bCs/>
                <w:color w:val="000000"/>
              </w:rPr>
              <w:t xml:space="preserve"> и действующего законодательства в области обращения с отходами, в области охраны  окружающей среды, несет ответственность, за вывоз, безопасную  утилизацию, размещение, за внесение платы за негативное воздействие  на окружающую среду в результате размещения образованных отходов. </w:t>
            </w:r>
            <w:r>
              <w:rPr>
                <w:rFonts w:cs="Tahoma"/>
                <w:color w:val="000000"/>
              </w:rPr>
              <w:t>Подрядчик обязан передать Заказчику по акту приёма передачи образующийся в процессе производства работ лом цветных металлов.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разработке инженерно-технических мероприятий гражданской обороны и мероприятий по предупреждению чрезвычайных ситуаций (ИТМ ГОЧС)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В соответствии с требованиями нормативно-технических документов и действующего законодательства.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Сроки выполнения работ (по основным этапам)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pacing w:before="80" w:after="80"/>
              <w:jc w:val="both"/>
              <w:rPr>
                <w:color w:val="auto"/>
              </w:rPr>
            </w:pPr>
            <w:r>
              <w:rPr>
                <w:rFonts w:cs="Tahoma"/>
                <w:color w:val="auto"/>
              </w:rPr>
              <w:t>4</w:t>
            </w:r>
            <w:r>
              <w:rPr>
                <w:rFonts w:cs="Tahoma"/>
                <w:color w:val="auto"/>
              </w:rPr>
              <w:t>5</w:t>
            </w:r>
            <w:r>
              <w:rPr>
                <w:rFonts w:cs="Tahoma"/>
                <w:color w:val="auto"/>
              </w:rPr>
              <w:t xml:space="preserve"> календарных дней с даты заключения договора</w:t>
            </w:r>
          </w:p>
        </w:tc>
      </w:tr>
      <w:tr>
        <w:trPr>
          <w:trHeight w:val="611" w:hRule="atLeast"/>
        </w:trPr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согласованию проектной документации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both"/>
              <w:rPr>
                <w:rFonts w:ascii="Tahoma" w:hAnsi="Tahoma" w:cs="Tahoma"/>
                <w:sz w:val="20"/>
              </w:rPr>
            </w:pPr>
            <w:r>
              <w:rPr/>
              <w:t>Все необходимые согласования выполняет исполнитель. Отступления от ПСД должны быть согласованы с Заказчиком и внесены в проектную документацию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24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к составу и содержанию документов, передаваемых подрядчиком заказчику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snapToGrid w:val="false"/>
              <w:spacing w:before="40" w:after="8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/>
              </w:rPr>
              <w:t>Техническая (исполнительная) документация по выполненным подрядным работам в полном объеме должна соответствовать требованиям нормативной документации и Градостроительного Кодекса РФ (Состав - в соответствии с перечнем - Приложение №1  настоящего ТЗ).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8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Исполнительная документация – 4 экз., в том числе 1 экз. – на электронном носителе.</w:t>
            </w:r>
          </w:p>
          <w:p>
            <w:pPr>
              <w:pStyle w:val="ListParagraph"/>
              <w:numPr>
                <w:ilvl w:val="0"/>
                <w:numId w:val="1"/>
              </w:numPr>
              <w:snapToGrid w:val="false"/>
              <w:spacing w:lineRule="auto" w:line="240" w:before="0" w:after="0"/>
              <w:ind w:left="-63" w:right="-3" w:hanging="360"/>
              <w:contextualSpacing/>
              <w:jc w:val="both"/>
              <w:rPr>
                <w:rFonts w:ascii="Tahoma" w:hAnsi="Tahoma" w:cs="Tahoma"/>
                <w:sz w:val="20"/>
                <w:szCs w:val="24"/>
              </w:rPr>
            </w:pPr>
            <w:r>
              <w:rPr>
                <w:rFonts w:cs="Tahoma" w:ascii="Times New Roman" w:hAnsi="Times New Roman"/>
                <w:sz w:val="24"/>
                <w:szCs w:val="24"/>
              </w:rPr>
              <w:t>Сертификаты качества, накладные на материалы и оборудование не учтённые в базе текущих сметных цен (ТССЦ).- 1 экз.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Акты выполненных работ (КС-2, КС-3, ОС-1а, КС-11) - 3 экз.</w:t>
            </w:r>
          </w:p>
        </w:tc>
      </w:tr>
      <w:tr>
        <w:trPr/>
        <w:tc>
          <w:tcPr>
            <w:tcW w:w="5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26</w:t>
            </w:r>
          </w:p>
        </w:tc>
        <w:tc>
          <w:tcPr>
            <w:tcW w:w="33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Дополнительные требования и особые условия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snapToGrid w:val="false"/>
              <w:spacing w:before="80" w:after="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1. Подрядчик самостоятельно обеспечивает доступ к месту(ам) производства работ и проводит необходимые согласования со всеми службами, имеющими коммуникации в районе проведения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2. Перед началом работ Подрядчик шурфованием должен уточнить фактические отметки существующих коммуникаций пересекающих сеть водоотведения. В случае несовпадения с отметками в проекте согласовать изменение с Заказчиком.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3. Подрядчик предоставляет еженедельные фотоотчеты о проведении работ.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4. По окончании работ Подрядчик предоставляет акт проведения телеинспекции канализационной сети.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5. Ограждение мест производства работ выполнять в соответствии с техникой безопасности в строительстве  СНиП 12-03-01 «Безопасность труда в строительстве» с использованием для этого щитов ограждения, изготовленных по прилагаемому эскизу или взятых в аренду у заказчика. При необходимости выставить дорожные знаки, указатели, выполнить организацию объездных дорог, освещение.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6. Оформление ордера на земляные работы является обязанностью подрядчика.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7. В обязанности Подрядчика входят работы по испытанию и промывке сети водоотведения, восстановлению благоустройства в полном объеме.</w:t>
            </w:r>
          </w:p>
          <w:p>
            <w:pPr>
              <w:pStyle w:val="Normal"/>
              <w:snapToGrid w:val="false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8. Работы не указанные (не учтенные) в проектно-сметной документации, но необходимые для достижения результата по договору подряда, подлежат выполнению подрядчиком в пределах цены договора подряда.</w:t>
            </w:r>
          </w:p>
          <w:p>
            <w:pPr>
              <w:pStyle w:val="Normal"/>
              <w:spacing w:before="0" w:after="80"/>
              <w:jc w:val="both"/>
              <w:rPr>
                <w:rFonts w:ascii="Tahoma" w:hAnsi="Tahoma" w:cs="Tahoma"/>
                <w:sz w:val="20"/>
              </w:rPr>
            </w:pPr>
            <w:r>
              <w:rPr>
                <w:rFonts w:cs="Tahoma"/>
              </w:rPr>
              <w:t>9. Гарантия на выполненные работы 5 лет.</w:t>
            </w:r>
          </w:p>
        </w:tc>
      </w:tr>
    </w:tbl>
    <w:p>
      <w:pPr>
        <w:pStyle w:val="Normal"/>
        <w:numPr>
          <w:ilvl w:val="0"/>
          <w:numId w:val="0"/>
        </w:numPr>
        <w:outlineLvl w:val="0"/>
        <w:rPr>
          <w:rFonts w:cs="Tahoma"/>
        </w:rPr>
      </w:pPr>
      <w:r>
        <w:rPr>
          <w:rFonts w:cs="Tahoma"/>
        </w:rPr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rFonts w:cs="Tahoma"/>
        </w:rPr>
        <w:t>Приложение:</w:t>
        <w:tab/>
        <w:t xml:space="preserve">1. </w:t>
      </w:r>
      <w:r>
        <w:rPr>
          <w:rFonts w:cs="Tahoma"/>
          <w:bCs/>
        </w:rPr>
        <w:t xml:space="preserve">Перечень исполнительной документации оформляемой подрядной </w:t>
        <w:tab/>
        <w:tab/>
        <w:tab/>
        <w:t xml:space="preserve">    строительной организацией  при строительстве наружных сетей </w:t>
        <w:tab/>
        <w:tab/>
        <w:tab/>
        <w:t xml:space="preserve">    водоотведения</w:t>
      </w:r>
    </w:p>
    <w:p>
      <w:pPr>
        <w:pStyle w:val="Normal"/>
        <w:numPr>
          <w:ilvl w:val="0"/>
          <w:numId w:val="0"/>
        </w:numPr>
        <w:outlineLvl w:val="0"/>
        <w:rPr/>
      </w:pPr>
      <w:r>
        <w:rPr>
          <w:bCs/>
          <w:color w:val="auto"/>
          <w:kern w:val="2"/>
        </w:rPr>
        <w:tab/>
        <w:tab/>
        <w:t>2. Реестр выполненных работ</w:t>
      </w:r>
    </w:p>
    <w:p>
      <w:pPr>
        <w:pStyle w:val="Normal"/>
        <w:numPr>
          <w:ilvl w:val="0"/>
          <w:numId w:val="0"/>
        </w:numPr>
        <w:outlineLvl w:val="0"/>
        <w:rPr>
          <w:rFonts w:cs="Tahoma"/>
          <w:bCs/>
        </w:rPr>
      </w:pPr>
      <w:r>
        <w:rPr>
          <w:rFonts w:cs="Tahoma"/>
          <w:bCs/>
        </w:rPr>
        <w:tab/>
        <w:tab/>
      </w:r>
    </w:p>
    <w:p>
      <w:pPr>
        <w:pStyle w:val="Normal"/>
        <w:numPr>
          <w:ilvl w:val="0"/>
          <w:numId w:val="0"/>
        </w:numPr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numPr>
          <w:ilvl w:val="0"/>
          <w:numId w:val="0"/>
        </w:numPr>
        <w:outlineLvl w:val="0"/>
        <w:rPr>
          <w:rFonts w:cs="Tahoma"/>
          <w:bCs/>
        </w:rPr>
      </w:pPr>
      <w:r>
        <w:rPr>
          <w:rFonts w:cs="Tahoma"/>
          <w:bCs/>
        </w:rPr>
      </w:r>
    </w:p>
    <w:p>
      <w:pPr>
        <w:pStyle w:val="Normal"/>
        <w:ind w:left="-567" w:right="-397" w:hanging="0"/>
        <w:rPr/>
      </w:pPr>
      <w:r>
        <w:rPr>
          <w:rFonts w:cs="Tahoma"/>
        </w:rPr>
        <w:t>Первый заместитель главного управляющего директора</w:t>
        <w:tab/>
        <w:t xml:space="preserve">                                        Д.С. Ракицкий  ООО «Самарские коммунальные системы»</w:t>
      </w:r>
    </w:p>
    <w:p>
      <w:pPr>
        <w:pStyle w:val="Normal"/>
        <w:numPr>
          <w:ilvl w:val="0"/>
          <w:numId w:val="0"/>
        </w:numPr>
        <w:spacing w:before="240" w:after="0"/>
        <w:ind w:right="-284" w:hanging="0"/>
        <w:outlineLvl w:val="0"/>
        <w:rPr/>
      </w:pPr>
      <w:r>
        <w:rPr/>
      </w:r>
    </w:p>
    <w:sectPr>
      <w:type w:val="nextPage"/>
      <w:pgSz w:w="11906" w:h="16838"/>
      <w:pgMar w:left="1701" w:right="850" w:header="0" w:top="1134" w:footer="0" w:bottom="993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Sylfaen"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-63" w:hanging="360"/>
      </w:pPr>
    </w:lvl>
    <w:lvl w:ilvl="1">
      <w:start w:val="1"/>
      <w:numFmt w:val="lowerLetter"/>
      <w:lvlText w:val="%2."/>
      <w:lvlJc w:val="left"/>
      <w:pPr>
        <w:ind w:left="657" w:hanging="360"/>
      </w:pPr>
    </w:lvl>
    <w:lvl w:ilvl="2">
      <w:start w:val="1"/>
      <w:numFmt w:val="lowerRoman"/>
      <w:lvlText w:val="%3."/>
      <w:lvlJc w:val="right"/>
      <w:pPr>
        <w:ind w:left="1377" w:hanging="180"/>
      </w:pPr>
    </w:lvl>
    <w:lvl w:ilvl="3">
      <w:start w:val="1"/>
      <w:numFmt w:val="decimal"/>
      <w:lvlText w:val="%4."/>
      <w:lvlJc w:val="left"/>
      <w:pPr>
        <w:ind w:left="2097" w:hanging="360"/>
      </w:pPr>
    </w:lvl>
    <w:lvl w:ilvl="4">
      <w:start w:val="1"/>
      <w:numFmt w:val="lowerLetter"/>
      <w:lvlText w:val="%5."/>
      <w:lvlJc w:val="left"/>
      <w:pPr>
        <w:ind w:left="2817" w:hanging="360"/>
      </w:pPr>
    </w:lvl>
    <w:lvl w:ilvl="5">
      <w:start w:val="1"/>
      <w:numFmt w:val="lowerRoman"/>
      <w:lvlText w:val="%6."/>
      <w:lvlJc w:val="right"/>
      <w:pPr>
        <w:ind w:left="3537" w:hanging="180"/>
      </w:pPr>
    </w:lvl>
    <w:lvl w:ilvl="6">
      <w:start w:val="1"/>
      <w:numFmt w:val="decimal"/>
      <w:lvlText w:val="%7."/>
      <w:lvlJc w:val="left"/>
      <w:pPr>
        <w:ind w:left="4257" w:hanging="360"/>
      </w:pPr>
    </w:lvl>
    <w:lvl w:ilvl="7">
      <w:start w:val="1"/>
      <w:numFmt w:val="lowerLetter"/>
      <w:lvlText w:val="%8."/>
      <w:lvlJc w:val="left"/>
      <w:pPr>
        <w:ind w:left="4977" w:hanging="360"/>
      </w:pPr>
    </w:lvl>
    <w:lvl w:ilvl="8">
      <w:start w:val="1"/>
      <w:numFmt w:val="lowerRoman"/>
      <w:lvlText w:val="%9."/>
      <w:lvlJc w:val="right"/>
      <w:pPr>
        <w:ind w:left="5697" w:hanging="18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  <w:sz w:val="20"/>
        <w:rFonts w:cs="Symbol"/>
      </w:rPr>
    </w:lvl>
    <w:lvl w:ilvl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8f7c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9" w:customStyle="1">
    <w:name w:val="Font Style19"/>
    <w:basedOn w:val="DefaultParagraphFont"/>
    <w:qFormat/>
    <w:rsid w:val="008773dc"/>
    <w:rPr>
      <w:rFonts w:ascii="Times New Roman" w:hAnsi="Times New Roman" w:cs="Times New Roman"/>
      <w:sz w:val="22"/>
      <w:szCs w:val="22"/>
    </w:rPr>
  </w:style>
  <w:style w:type="character" w:styleId="Appleconvertedspace" w:customStyle="1">
    <w:name w:val="apple-converted-space"/>
    <w:basedOn w:val="DefaultParagraphFont"/>
    <w:qFormat/>
    <w:rsid w:val="006c0ebb"/>
    <w:rPr/>
  </w:style>
  <w:style w:type="character" w:styleId="Style14" w:customStyle="1">
    <w:name w:val="Интернет-ссылка"/>
    <w:basedOn w:val="DefaultParagraphFont"/>
    <w:rsid w:val="006c1ab3"/>
    <w:rPr>
      <w:color w:val="0000FF"/>
      <w:u w:val="single"/>
    </w:rPr>
  </w:style>
  <w:style w:type="character" w:styleId="2" w:customStyle="1">
    <w:name w:val="Основной текст 2 Знак"/>
    <w:basedOn w:val="DefaultParagraphFont"/>
    <w:link w:val="2"/>
    <w:qFormat/>
    <w:rsid w:val="003e7c33"/>
    <w:rPr>
      <w:sz w:val="24"/>
      <w:szCs w:val="24"/>
    </w:rPr>
  </w:style>
  <w:style w:type="character" w:styleId="21" w:customStyle="1">
    <w:name w:val="Основной текст с отступом 2 Знак"/>
    <w:basedOn w:val="DefaultParagraphFont"/>
    <w:qFormat/>
    <w:rsid w:val="003e7c33"/>
    <w:rPr>
      <w:sz w:val="24"/>
      <w:szCs w:val="24"/>
    </w:rPr>
  </w:style>
  <w:style w:type="paragraph" w:styleId="Style15" w:customStyle="1">
    <w:name w:val="Заголовок"/>
    <w:basedOn w:val="Normal"/>
    <w:next w:val="Style16"/>
    <w:qFormat/>
    <w:rsid w:val="00f84b8c"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6">
    <w:name w:val="Body Text"/>
    <w:basedOn w:val="Normal"/>
    <w:rsid w:val="008f7c08"/>
    <w:pPr/>
    <w:rPr>
      <w:rFonts w:ascii="Arial" w:hAnsi="Arial" w:cs="Arial"/>
      <w:sz w:val="20"/>
    </w:rPr>
  </w:style>
  <w:style w:type="paragraph" w:styleId="Style17">
    <w:name w:val="List"/>
    <w:basedOn w:val="Style16"/>
    <w:rsid w:val="00f84b8c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xheading">
    <w:name w:val="index heading"/>
    <w:basedOn w:val="Normal"/>
    <w:qFormat/>
    <w:rsid w:val="00f84b8c"/>
    <w:pPr>
      <w:suppressLineNumbers/>
    </w:pPr>
    <w:rPr>
      <w:rFonts w:cs="Mangal"/>
    </w:rPr>
  </w:style>
  <w:style w:type="paragraph" w:styleId="11" w:customStyle="1">
    <w:name w:val="Заголовок 11"/>
    <w:basedOn w:val="Normal"/>
    <w:qFormat/>
    <w:rsid w:val="008f7c08"/>
    <w:pPr>
      <w:keepNext w:val="true"/>
      <w:jc w:val="center"/>
      <w:outlineLvl w:val="0"/>
    </w:pPr>
    <w:rPr>
      <w:rFonts w:ascii="Arial" w:hAnsi="Arial" w:cs="Arial"/>
      <w:b/>
      <w:bCs/>
    </w:rPr>
  </w:style>
  <w:style w:type="paragraph" w:styleId="1" w:customStyle="1">
    <w:name w:val="Название объекта1"/>
    <w:basedOn w:val="Normal"/>
    <w:qFormat/>
    <w:rsid w:val="00f84b8c"/>
    <w:pPr>
      <w:suppressLineNumbers/>
      <w:spacing w:before="120" w:after="120"/>
    </w:pPr>
    <w:rPr>
      <w:rFonts w:cs="Mangal"/>
      <w:i/>
      <w:iCs/>
    </w:rPr>
  </w:style>
  <w:style w:type="paragraph" w:styleId="Style20">
    <w:name w:val="Body Text Indent"/>
    <w:basedOn w:val="Normal"/>
    <w:rsid w:val="008f7c08"/>
    <w:pPr>
      <w:ind w:left="6480" w:hanging="0"/>
    </w:pPr>
    <w:rPr>
      <w:rFonts w:ascii="Arial" w:hAnsi="Arial" w:cs="Arial"/>
    </w:rPr>
  </w:style>
  <w:style w:type="paragraph" w:styleId="Style81" w:customStyle="1">
    <w:name w:val="Style8"/>
    <w:basedOn w:val="Normal"/>
    <w:qFormat/>
    <w:rsid w:val="008773dc"/>
    <w:pPr>
      <w:widowControl w:val="false"/>
      <w:spacing w:lineRule="exact" w:line="276"/>
    </w:pPr>
    <w:rPr>
      <w:rFonts w:ascii="Sylfaen" w:hAnsi="Sylfaen"/>
    </w:rPr>
  </w:style>
  <w:style w:type="paragraph" w:styleId="12" w:customStyle="1">
    <w:name w:val="Абзац списка1"/>
    <w:basedOn w:val="Normal"/>
    <w:uiPriority w:val="34"/>
    <w:qFormat/>
    <w:rsid w:val="0012717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Style21" w:customStyle="1">
    <w:name w:val="Содержимое таблицы"/>
    <w:basedOn w:val="Normal"/>
    <w:qFormat/>
    <w:rsid w:val="0088497e"/>
    <w:pPr>
      <w:widowControl w:val="false"/>
      <w:suppressAutoHyphens w:val="true"/>
    </w:pPr>
    <w:rPr>
      <w:rFonts w:ascii="Arial" w:hAnsi="Arial" w:eastAsia="Lucida Sans Unicode" w:cs="Mangal"/>
      <w:sz w:val="20"/>
      <w:lang w:eastAsia="hi-IN" w:bidi="hi-IN"/>
    </w:rPr>
  </w:style>
  <w:style w:type="paragraph" w:styleId="ListParagraph">
    <w:name w:val="List Paragraph"/>
    <w:basedOn w:val="Normal"/>
    <w:uiPriority w:val="34"/>
    <w:qFormat/>
    <w:rsid w:val="008f4fd1"/>
    <w:pPr>
      <w:suppressAutoHyphens w:val="true"/>
      <w:spacing w:lineRule="auto" w:line="276" w:before="0" w:after="200"/>
      <w:ind w:left="720" w:hanging="0"/>
      <w:contextualSpacing/>
    </w:pPr>
    <w:rPr>
      <w:rFonts w:ascii="Calibri" w:hAnsi="Calibri" w:eastAsia="Calibri" w:cs="Calibri"/>
      <w:sz w:val="22"/>
      <w:szCs w:val="22"/>
      <w:lang w:eastAsia="ar-SA"/>
    </w:rPr>
  </w:style>
  <w:style w:type="paragraph" w:styleId="BodyText2">
    <w:name w:val="Body Text 2"/>
    <w:basedOn w:val="Normal"/>
    <w:qFormat/>
    <w:rsid w:val="003e7c33"/>
    <w:pPr>
      <w:spacing w:lineRule="auto" w:line="480" w:before="0" w:after="120"/>
    </w:pPr>
    <w:rPr/>
  </w:style>
  <w:style w:type="paragraph" w:styleId="BodyTextIndent2">
    <w:name w:val="Body Text Indent 2"/>
    <w:basedOn w:val="Normal"/>
    <w:qFormat/>
    <w:rsid w:val="003e7c33"/>
    <w:pPr>
      <w:spacing w:lineRule="auto" w:line="480" w:before="0" w:after="120"/>
      <w:ind w:left="283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ks@samcomsys.ru" TargetMode="Externa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5FA6C-E55F-4473-8646-A91D13F9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LibreOffice/6.3.4.2$Windows_X86_64 LibreOffice_project/60da17e045e08f1793c57c00ba83cdfce946d0aa</Application>
  <Pages>5</Pages>
  <Words>1231</Words>
  <Characters>9041</Characters>
  <CharactersWithSpaces>10469</CharactersWithSpaces>
  <Paragraphs>137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2023-03-03T05:24:00Z</dcterms:created>
  <dc:creator>WASQ</dc:creator>
  <dc:description/>
  <dc:language>ru-RU</dc:language>
  <cp:lastModifiedBy/>
  <cp:lastPrinted>2020-04-09T12:08:00Z</cp:lastPrinted>
  <dcterms:modified xsi:type="dcterms:W3CDTF">2023-07-27T09:53:52Z</dcterms:modified>
  <cp:revision>20</cp:revision>
  <dc:subject/>
  <dc:title>УТВЕРЖДАЮ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